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0673951C" w:rsidR="00BB2954" w:rsidRDefault="00411B1C">
      <w:r>
        <w:t xml:space="preserve">CPUC Comments on </w:t>
      </w:r>
      <w:r w:rsidR="00C87B2B">
        <w:t>SWLG018-01 Type B and Type C LED, Tube</w:t>
      </w:r>
    </w:p>
    <w:p w14:paraId="2BA7A164" w14:textId="5227B21F" w:rsidR="004266C0" w:rsidRDefault="004266C0">
      <w:r>
        <w:t xml:space="preserve">Lead PA: </w:t>
      </w:r>
      <w:r w:rsidR="00C87B2B">
        <w:t>SCE</w:t>
      </w:r>
    </w:p>
    <w:p w14:paraId="4BB68C7D" w14:textId="63F39516" w:rsidR="009E1581" w:rsidRDefault="004266C0">
      <w:r>
        <w:t xml:space="preserve">Workpaper </w:t>
      </w:r>
      <w:r w:rsidR="008F1FF0">
        <w:t xml:space="preserve">Submittal Date: </w:t>
      </w:r>
      <w:r w:rsidR="00C87B2B">
        <w:t>10/1</w:t>
      </w:r>
      <w:r w:rsidR="0011219F">
        <w:t>3</w:t>
      </w:r>
      <w:r w:rsidR="00C87B2B">
        <w:t>/2020</w:t>
      </w:r>
    </w:p>
    <w:p w14:paraId="06E32D11" w14:textId="7FECFE9D" w:rsidR="004266C0" w:rsidRDefault="004266C0">
      <w:r>
        <w:t xml:space="preserve">CPUC Review Date: </w:t>
      </w:r>
      <w:r w:rsidR="009D58EF">
        <w:t>10/1</w:t>
      </w:r>
      <w:r w:rsidR="00C25942">
        <w:t>6</w:t>
      </w:r>
      <w:r w:rsidR="009D58EF">
        <w:t>/2020</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845"/>
        <w:gridCol w:w="3505"/>
      </w:tblGrid>
      <w:tr w:rsidR="004266C0" w14:paraId="75EEBFCB" w14:textId="77777777" w:rsidTr="00B809ED">
        <w:tc>
          <w:tcPr>
            <w:tcW w:w="5845" w:type="dxa"/>
          </w:tcPr>
          <w:p w14:paraId="50F575CA" w14:textId="77777777" w:rsidR="004266C0" w:rsidRDefault="004266C0" w:rsidP="004266C0">
            <w:r>
              <w:t>CPUC Comment</w:t>
            </w:r>
          </w:p>
        </w:tc>
        <w:tc>
          <w:tcPr>
            <w:tcW w:w="3505" w:type="dxa"/>
          </w:tcPr>
          <w:p w14:paraId="73B4B0C7" w14:textId="77777777" w:rsidR="004266C0" w:rsidRDefault="004266C0" w:rsidP="004266C0">
            <w:r>
              <w:t>PA Response</w:t>
            </w:r>
          </w:p>
        </w:tc>
      </w:tr>
      <w:tr w:rsidR="004266C0" w14:paraId="3824AE26" w14:textId="77777777" w:rsidTr="00B809ED">
        <w:tc>
          <w:tcPr>
            <w:tcW w:w="5845" w:type="dxa"/>
          </w:tcPr>
          <w:p w14:paraId="65895ACD" w14:textId="3EC5AED3" w:rsidR="004266C0" w:rsidRDefault="00013439" w:rsidP="004266C0">
            <w:r>
              <w:t>Please revise the Workpaper Title listed on the Cover Sheet to match the title of the WP PDF document.</w:t>
            </w:r>
            <w:r w:rsidR="00ED4AC3">
              <w:t xml:space="preserve"> Please also revise Cover Sheet to reflect that this WP is a Phase 2 WP.</w:t>
            </w:r>
          </w:p>
        </w:tc>
        <w:tc>
          <w:tcPr>
            <w:tcW w:w="3505" w:type="dxa"/>
          </w:tcPr>
          <w:p w14:paraId="616D4609" w14:textId="690039B0" w:rsidR="004266C0" w:rsidRDefault="00CC3C6F" w:rsidP="004266C0">
            <w:r>
              <w:t>Corrected in Cover Sheet.</w:t>
            </w:r>
          </w:p>
        </w:tc>
      </w:tr>
      <w:tr w:rsidR="0018585C" w14:paraId="2A12BBBA" w14:textId="77777777" w:rsidTr="00B809ED">
        <w:tc>
          <w:tcPr>
            <w:tcW w:w="5845" w:type="dxa"/>
          </w:tcPr>
          <w:p w14:paraId="2A9D2C86" w14:textId="10F3E030" w:rsidR="0018585C" w:rsidRDefault="0018585C" w:rsidP="004266C0">
            <w:r>
              <w:t>Please provide in the Cover Sheet, an estimate of statewide first year and lifetime savings expected in 2021.</w:t>
            </w:r>
          </w:p>
        </w:tc>
        <w:tc>
          <w:tcPr>
            <w:tcW w:w="3505" w:type="dxa"/>
          </w:tcPr>
          <w:p w14:paraId="6AC1DB9B" w14:textId="50855D54" w:rsidR="0018585C" w:rsidRDefault="00CC3C6F" w:rsidP="004266C0">
            <w:r>
              <w:t xml:space="preserve">Estimates added in coversheet based on previous Type A tube installations. This is estimated as type A and </w:t>
            </w:r>
            <w:r w:rsidR="0012415B">
              <w:t>B</w:t>
            </w:r>
            <w:r>
              <w:t xml:space="preserve"> may see about same sales.</w:t>
            </w:r>
          </w:p>
        </w:tc>
      </w:tr>
      <w:tr w:rsidR="004266C0" w14:paraId="05E35CA3" w14:textId="77777777" w:rsidTr="00B809ED">
        <w:tc>
          <w:tcPr>
            <w:tcW w:w="5845" w:type="dxa"/>
          </w:tcPr>
          <w:p w14:paraId="2948B0D6" w14:textId="02A0B832" w:rsidR="004266C0" w:rsidRDefault="0011219F" w:rsidP="0011219F">
            <w:r>
              <w:t xml:space="preserve">On page 5, please delete the following statement: “Note, however, that this measure is a lamp-only replacement and thus does not trigger code. The information provided below is for informational purposes only.” We believe this is a cut and paste error as other parts of the Workpaper clearly acknowledge that this measure is an alteration that does trigger code.  </w:t>
            </w:r>
          </w:p>
        </w:tc>
        <w:tc>
          <w:tcPr>
            <w:tcW w:w="3505" w:type="dxa"/>
          </w:tcPr>
          <w:p w14:paraId="64B4C480" w14:textId="383AD7B6" w:rsidR="004266C0" w:rsidRDefault="00CC3C6F" w:rsidP="004266C0">
            <w:r>
              <w:t>Co</w:t>
            </w:r>
            <w:r w:rsidR="0061625A">
              <w:t>rrected</w:t>
            </w:r>
            <w:r>
              <w:t xml:space="preserve"> Standard publishing error as it caches data from previous data in workpaper template.</w:t>
            </w:r>
          </w:p>
        </w:tc>
      </w:tr>
      <w:tr w:rsidR="004266C0" w14:paraId="634A2AC3" w14:textId="77777777" w:rsidTr="00B809ED">
        <w:tc>
          <w:tcPr>
            <w:tcW w:w="5845" w:type="dxa"/>
          </w:tcPr>
          <w:p w14:paraId="19406F10" w14:textId="0A4A109C" w:rsidR="004266C0" w:rsidRDefault="0011219F" w:rsidP="004266C0">
            <w:r>
              <w:t xml:space="preserve">There are several references to Type A LEDs that appear to be cut and paste errors (e.g. interactive effects table heading on page 15, energy savings table heading on page 15, sample calculation on page 20).  Please replace references from Type A to Type B and/or Type C to avoid confusion. </w:t>
            </w:r>
          </w:p>
        </w:tc>
        <w:tc>
          <w:tcPr>
            <w:tcW w:w="3505" w:type="dxa"/>
          </w:tcPr>
          <w:p w14:paraId="57F168B1" w14:textId="51BD3154" w:rsidR="004266C0" w:rsidRDefault="00CC3C6F" w:rsidP="004266C0">
            <w:r>
              <w:t>Co</w:t>
            </w:r>
            <w:r w:rsidR="0061625A">
              <w:t>rrected</w:t>
            </w:r>
            <w:r>
              <w:t xml:space="preserve"> Standard publishing error as it caches data from previous data in workpaper template.</w:t>
            </w:r>
          </w:p>
        </w:tc>
      </w:tr>
      <w:tr w:rsidR="00C61953" w14:paraId="7409FE57" w14:textId="77777777" w:rsidTr="00B809ED">
        <w:tc>
          <w:tcPr>
            <w:tcW w:w="5845" w:type="dxa"/>
          </w:tcPr>
          <w:p w14:paraId="373745DE" w14:textId="38CE88DE" w:rsidR="00C61953" w:rsidRDefault="003341AA" w:rsidP="004266C0">
            <w:r>
              <w:t>The measure and baseline watts are shown in a table on page 15 and are consistent with the delta watts calculation sheet.  But delta watts per measure are not presented.  Please add delta watts per measure.  Note: there appears to be an error in the summary tables tab of the delta watts sheet.  In the 1</w:t>
            </w:r>
            <w:r w:rsidRPr="003341AA">
              <w:rPr>
                <w:vertAlign w:val="superscript"/>
              </w:rPr>
              <w:t>st</w:t>
            </w:r>
            <w:r>
              <w:t xml:space="preserve"> and 2</w:t>
            </w:r>
            <w:r w:rsidRPr="003341AA">
              <w:rPr>
                <w:vertAlign w:val="superscript"/>
              </w:rPr>
              <w:t>nd</w:t>
            </w:r>
            <w:r>
              <w:t xml:space="preserve"> baseline delta watt calculations (K6:L37) the space type “dwelling area” consistently references the measure wattage associated with parking fixtures and the space type “parking garages” consistently references the measure wattage associated with troffers.  Please correct these errors by updating the formulas in K6:L37 or by updating the columns D and G so that match the current formulas (e.g. swap references to parking garages and dwelling areas).</w:t>
            </w:r>
          </w:p>
        </w:tc>
        <w:tc>
          <w:tcPr>
            <w:tcW w:w="3505" w:type="dxa"/>
          </w:tcPr>
          <w:p w14:paraId="313BD6C8" w14:textId="77777777" w:rsidR="00C61953" w:rsidRDefault="00CC3C6F" w:rsidP="004266C0">
            <w:r>
              <w:t>Corrected in word document and excel sheet.</w:t>
            </w:r>
          </w:p>
          <w:p w14:paraId="3E831A7F" w14:textId="77777777" w:rsidR="00104A7E" w:rsidRDefault="00104A7E" w:rsidP="004266C0">
            <w:r w:rsidRPr="00104A7E">
              <w:t>Added two columns to table on page 15 for “Existing to Measure Reduction (W)” and “Standard to Measure Reduction (W)”</w:t>
            </w:r>
          </w:p>
          <w:p w14:paraId="71484C71" w14:textId="77777777" w:rsidR="00104A7E" w:rsidRDefault="00104A7E" w:rsidP="00104A7E">
            <w:r>
              <w:t xml:space="preserve">Updated in in Delta Watts Calcs Summary Sheet. </w:t>
            </w:r>
          </w:p>
          <w:p w14:paraId="5E801DF4" w14:textId="7BE84923" w:rsidR="00104A7E" w:rsidRDefault="00104A7E" w:rsidP="00104A7E">
            <w:r>
              <w:t xml:space="preserve">Also verified that Measure Data Spec </w:t>
            </w:r>
            <w:r w:rsidR="009F629B">
              <w:t xml:space="preserve">and delta watts sheet </w:t>
            </w:r>
            <w:r>
              <w:t>table</w:t>
            </w:r>
            <w:r w:rsidR="009F629B">
              <w:t>s</w:t>
            </w:r>
            <w:r>
              <w:t xml:space="preserve"> w</w:t>
            </w:r>
            <w:r w:rsidR="009F629B">
              <w:t>ere</w:t>
            </w:r>
            <w:bookmarkStart w:id="0" w:name="_GoBack"/>
            <w:bookmarkEnd w:id="0"/>
            <w:r>
              <w:t xml:space="preserve"> correct, so no updates are needed to the savings or EAD.</w:t>
            </w:r>
          </w:p>
        </w:tc>
      </w:tr>
      <w:tr w:rsidR="006D4D28" w14:paraId="2910BF34" w14:textId="77777777" w:rsidTr="00B809ED">
        <w:tc>
          <w:tcPr>
            <w:tcW w:w="5845" w:type="dxa"/>
          </w:tcPr>
          <w:p w14:paraId="0E448994" w14:textId="79243199" w:rsidR="006D4D28" w:rsidRDefault="006D4D28" w:rsidP="004266C0">
            <w:r>
              <w:lastRenderedPageBreak/>
              <w:t>Please describe how the confirmation of code compliance and preponderance of evidence data will be collected in an upstream program.</w:t>
            </w:r>
          </w:p>
        </w:tc>
        <w:tc>
          <w:tcPr>
            <w:tcW w:w="3505" w:type="dxa"/>
          </w:tcPr>
          <w:p w14:paraId="17AB0487" w14:textId="77777777" w:rsidR="00B809ED" w:rsidRDefault="00CC3C6F" w:rsidP="004266C0">
            <w:r>
              <w:t xml:space="preserve">Per resolution E-4818, AR measures are not allowed in upstream delivery. </w:t>
            </w:r>
          </w:p>
          <w:p w14:paraId="503CE4ED" w14:textId="16D960E0" w:rsidR="006D4D28" w:rsidRDefault="00B809ED" w:rsidP="004266C0">
            <w:r>
              <w:t>*</w:t>
            </w:r>
            <w:r w:rsidR="00CC3C6F">
              <w:t>Added language in word document to say AR impacts are only allowed for  downstream and DI programs.</w:t>
            </w:r>
          </w:p>
          <w:p w14:paraId="1594FF00" w14:textId="77777777" w:rsidR="00B809ED" w:rsidRDefault="00B809ED" w:rsidP="004266C0">
            <w:r>
              <w:t xml:space="preserve">*We have removed Upstream Delivery types from AR measures in the WP document and EAD. </w:t>
            </w:r>
          </w:p>
          <w:p w14:paraId="765EAC9B" w14:textId="34CD0473" w:rsidR="00B809ED" w:rsidRDefault="00B809ED" w:rsidP="004266C0">
            <w:r>
              <w:t xml:space="preserve">*The upstream measure for the NR measures is a midstream delivery type. It will require the submission of the relevant T24 lighting permit to verify that code has been met. </w:t>
            </w:r>
          </w:p>
        </w:tc>
      </w:tr>
    </w:tbl>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3439"/>
    <w:rsid w:val="00016F16"/>
    <w:rsid w:val="00047FC1"/>
    <w:rsid w:val="00096A19"/>
    <w:rsid w:val="00104A7E"/>
    <w:rsid w:val="0011219F"/>
    <w:rsid w:val="0012415B"/>
    <w:rsid w:val="00131866"/>
    <w:rsid w:val="0018585C"/>
    <w:rsid w:val="002A755F"/>
    <w:rsid w:val="002E05AF"/>
    <w:rsid w:val="003341AA"/>
    <w:rsid w:val="003E79B7"/>
    <w:rsid w:val="00411B1C"/>
    <w:rsid w:val="004266C0"/>
    <w:rsid w:val="004E7F9C"/>
    <w:rsid w:val="0050032F"/>
    <w:rsid w:val="0061625A"/>
    <w:rsid w:val="006C6E3A"/>
    <w:rsid w:val="006D4D28"/>
    <w:rsid w:val="006F56C1"/>
    <w:rsid w:val="00791A22"/>
    <w:rsid w:val="008963E4"/>
    <w:rsid w:val="008F1FF0"/>
    <w:rsid w:val="00905B03"/>
    <w:rsid w:val="009D58EF"/>
    <w:rsid w:val="009E1581"/>
    <w:rsid w:val="009F629B"/>
    <w:rsid w:val="00A834E9"/>
    <w:rsid w:val="00AB26AE"/>
    <w:rsid w:val="00AC21BB"/>
    <w:rsid w:val="00AD3DAD"/>
    <w:rsid w:val="00B809ED"/>
    <w:rsid w:val="00B8145B"/>
    <w:rsid w:val="00BA4AC4"/>
    <w:rsid w:val="00BB2954"/>
    <w:rsid w:val="00C25942"/>
    <w:rsid w:val="00C61953"/>
    <w:rsid w:val="00C87B2B"/>
    <w:rsid w:val="00CB027A"/>
    <w:rsid w:val="00CC3C6F"/>
    <w:rsid w:val="00CE69EE"/>
    <w:rsid w:val="00EC4C2D"/>
    <w:rsid w:val="00ED4AC3"/>
    <w:rsid w:val="00EF1330"/>
    <w:rsid w:val="00F00D47"/>
    <w:rsid w:val="00FB0581"/>
    <w:rsid w:val="00FF0CD8"/>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Ajay Wadhera</cp:lastModifiedBy>
  <cp:revision>4</cp:revision>
  <dcterms:created xsi:type="dcterms:W3CDTF">2020-10-22T15:57:00Z</dcterms:created>
  <dcterms:modified xsi:type="dcterms:W3CDTF">2020-10-22T16:26:00Z</dcterms:modified>
</cp:coreProperties>
</file>